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6F3" w:rsidRDefault="004676F3" w:rsidP="004676F3">
      <w:pPr>
        <w:pStyle w:val="EnvelopeReturn"/>
        <w:jc w:val="center"/>
        <w:rPr>
          <w:b/>
          <w:bCs/>
          <w:sz w:val="28"/>
        </w:rPr>
      </w:pPr>
      <w:r>
        <w:rPr>
          <w:b/>
          <w:bCs/>
          <w:sz w:val="28"/>
        </w:rPr>
        <w:t>FOOTNOTES</w:t>
      </w:r>
    </w:p>
    <w:p w:rsidR="004676F3" w:rsidRDefault="004676F3" w:rsidP="004676F3"/>
    <w:p w:rsidR="004676F3" w:rsidRDefault="004676F3" w:rsidP="004676F3">
      <w:r>
        <w:t>Footnotes should be used when:</w:t>
      </w:r>
    </w:p>
    <w:p w:rsidR="004676F3" w:rsidRDefault="004676F3" w:rsidP="004676F3">
      <w:pPr>
        <w:ind w:left="720"/>
      </w:pPr>
    </w:p>
    <w:p w:rsidR="004676F3" w:rsidRDefault="004676F3" w:rsidP="004676F3">
      <w:pPr>
        <w:numPr>
          <w:ilvl w:val="0"/>
          <w:numId w:val="1"/>
        </w:numPr>
      </w:pPr>
      <w:r>
        <w:t>Citing specific facts, opinions, or exact quotations;</w:t>
      </w:r>
    </w:p>
    <w:p w:rsidR="004676F3" w:rsidRDefault="004676F3" w:rsidP="004676F3">
      <w:pPr>
        <w:ind w:left="1080"/>
      </w:pPr>
    </w:p>
    <w:p w:rsidR="004676F3" w:rsidRDefault="004676F3" w:rsidP="004676F3">
      <w:pPr>
        <w:numPr>
          <w:ilvl w:val="0"/>
          <w:numId w:val="2"/>
        </w:numPr>
        <w:ind w:left="1080"/>
      </w:pPr>
      <w:r>
        <w:t>Making cross-references to other material;</w:t>
      </w:r>
    </w:p>
    <w:p w:rsidR="004676F3" w:rsidRDefault="004676F3" w:rsidP="004676F3">
      <w:pPr>
        <w:ind w:left="2160"/>
      </w:pPr>
    </w:p>
    <w:p w:rsidR="004676F3" w:rsidRDefault="004676F3" w:rsidP="004676F3">
      <w:pPr>
        <w:numPr>
          <w:ilvl w:val="0"/>
          <w:numId w:val="3"/>
        </w:numPr>
        <w:ind w:left="1080"/>
      </w:pPr>
      <w:r>
        <w:t>Making incidental comments or;</w:t>
      </w:r>
    </w:p>
    <w:p w:rsidR="004676F3" w:rsidRDefault="004676F3" w:rsidP="004676F3">
      <w:pPr>
        <w:ind w:left="720"/>
      </w:pPr>
    </w:p>
    <w:p w:rsidR="004676F3" w:rsidRDefault="004676F3" w:rsidP="004676F3">
      <w:pPr>
        <w:numPr>
          <w:ilvl w:val="0"/>
          <w:numId w:val="3"/>
        </w:numPr>
        <w:ind w:left="1080"/>
      </w:pPr>
      <w:r>
        <w:t>Acknowledging someone else’s work</w:t>
      </w:r>
      <w:r>
        <w:rPr>
          <w:rStyle w:val="FootnoteReference"/>
        </w:rPr>
        <w:footnoteReference w:id="1"/>
      </w:r>
    </w:p>
    <w:p w:rsidR="004676F3" w:rsidRDefault="004676F3" w:rsidP="004676F3">
      <w:pPr>
        <w:ind w:left="720"/>
        <w:jc w:val="both"/>
      </w:pPr>
    </w:p>
    <w:p w:rsidR="004676F3" w:rsidRDefault="004676F3" w:rsidP="004676F3">
      <w:pPr>
        <w:jc w:val="both"/>
      </w:pPr>
      <w:r>
        <w:t>Footnote numbers should be sequential beginning with (1) and continue throughout the paper. Footnote numbers should be placed at the end of the sentence.  The number should be placed slightly above the line at the end of the sentence and without a period or other embellishment.</w:t>
      </w:r>
    </w:p>
    <w:p w:rsidR="004676F3" w:rsidRDefault="004676F3" w:rsidP="004676F3">
      <w:pPr>
        <w:jc w:val="both"/>
      </w:pPr>
    </w:p>
    <w:p w:rsidR="004676F3" w:rsidRDefault="004676F3" w:rsidP="004676F3">
      <w:pPr>
        <w:jc w:val="both"/>
      </w:pPr>
      <w:r>
        <w:t xml:space="preserve">Footnotes should be arranged in numerical order at the foot of the page and separated from the text by a line 2 ½ inches long extending from the left margin.  All items to which a reference is made should appear on the same page as the footnote (see examples below).  Each footnote should be separated from the one above. </w:t>
      </w:r>
    </w:p>
    <w:p w:rsidR="004676F3" w:rsidRDefault="004676F3" w:rsidP="004676F3">
      <w:pPr>
        <w:jc w:val="both"/>
        <w:rPr>
          <w:b/>
        </w:rPr>
      </w:pPr>
    </w:p>
    <w:p w:rsidR="004676F3" w:rsidRDefault="004676F3" w:rsidP="004676F3">
      <w:pPr>
        <w:jc w:val="both"/>
        <w:rPr>
          <w:b/>
        </w:rPr>
      </w:pPr>
      <w:r>
        <w:rPr>
          <w:b/>
        </w:rPr>
        <w:t>Wikipedia is not a legitimate academic source.  It is not reviewed or edited by recognized academic experts, and therefore should not be used as a reference in any academic research.  However, it is a good place to begin searching for legitimate academic sources.</w:t>
      </w:r>
    </w:p>
    <w:p w:rsidR="004676F3" w:rsidRDefault="004676F3" w:rsidP="004676F3">
      <w:pPr>
        <w:jc w:val="both"/>
      </w:pPr>
    </w:p>
    <w:p w:rsidR="004676F3" w:rsidRDefault="004676F3" w:rsidP="004676F3">
      <w:pPr>
        <w:jc w:val="both"/>
      </w:pPr>
      <w:r>
        <w:t>The formats for footnotes and bibliographic references differ slightly, so attention is required.</w:t>
      </w:r>
    </w:p>
    <w:p w:rsidR="004676F3" w:rsidRDefault="004676F3" w:rsidP="004676F3">
      <w:pPr>
        <w:jc w:val="both"/>
      </w:pPr>
    </w:p>
    <w:p w:rsidR="004676F3" w:rsidRDefault="004676F3" w:rsidP="004676F3">
      <w:r>
        <w:rPr>
          <w:b/>
          <w:bCs/>
        </w:rPr>
        <w:t>Abbreviations:</w:t>
      </w:r>
    </w:p>
    <w:p w:rsidR="004676F3" w:rsidRDefault="004676F3" w:rsidP="004676F3">
      <w:pPr>
        <w:jc w:val="both"/>
      </w:pPr>
    </w:p>
    <w:p w:rsidR="004676F3" w:rsidRDefault="004676F3" w:rsidP="004676F3">
      <w:pPr>
        <w:pStyle w:val="Heading4"/>
        <w:rPr>
          <w:rFonts w:eastAsia="Arial Unicode MS"/>
          <w:u w:val="none"/>
        </w:rPr>
      </w:pPr>
      <w:proofErr w:type="spellStart"/>
      <w:r>
        <w:rPr>
          <w:u w:val="none"/>
        </w:rPr>
        <w:t>Ibidem</w:t>
      </w:r>
      <w:proofErr w:type="spellEnd"/>
      <w:r>
        <w:rPr>
          <w:u w:val="none"/>
        </w:rPr>
        <w:t xml:space="preserve"> (Ibid.) is Latin meaning the reference cited just before.  It should be used when quoting a citation from the same reference as the one immediately preceding it on the page.  Proper format is to use the abbreviation—</w:t>
      </w:r>
      <w:proofErr w:type="gramStart"/>
      <w:r>
        <w:rPr>
          <w:u w:val="none"/>
        </w:rPr>
        <w:t>ibid.,</w:t>
      </w:r>
      <w:proofErr w:type="gramEnd"/>
      <w:r>
        <w:rPr>
          <w:u w:val="none"/>
        </w:rPr>
        <w:t xml:space="preserve"> then the page number.</w:t>
      </w:r>
    </w:p>
    <w:p w:rsidR="004676F3" w:rsidRDefault="004676F3" w:rsidP="004676F3"/>
    <w:p w:rsidR="004676F3" w:rsidRDefault="004676F3" w:rsidP="004676F3">
      <w:r>
        <w:tab/>
      </w:r>
      <w:proofErr w:type="gramStart"/>
      <w:r>
        <w:t>Ibid.,</w:t>
      </w:r>
      <w:proofErr w:type="gramEnd"/>
      <w:r>
        <w:t xml:space="preserve"> p. 37.</w:t>
      </w:r>
    </w:p>
    <w:p w:rsidR="004676F3" w:rsidRDefault="004676F3" w:rsidP="004676F3">
      <w:pPr>
        <w:pStyle w:val="Heading4"/>
        <w:rPr>
          <w:u w:val="none"/>
        </w:rPr>
      </w:pPr>
    </w:p>
    <w:p w:rsidR="004676F3" w:rsidRDefault="004676F3" w:rsidP="004676F3">
      <w:pPr>
        <w:pStyle w:val="Heading4"/>
        <w:rPr>
          <w:rFonts w:eastAsia="Arial Unicode MS"/>
          <w:u w:val="none"/>
        </w:rPr>
      </w:pPr>
      <w:r>
        <w:rPr>
          <w:u w:val="none"/>
        </w:rPr>
        <w:t xml:space="preserve">Reference to a work already cited in full form but not in the footnote immediately preceding, should include the author’s last name, title of document, and page number. </w:t>
      </w:r>
    </w:p>
    <w:p w:rsidR="004676F3" w:rsidRDefault="004676F3" w:rsidP="004676F3">
      <w:pPr>
        <w:pStyle w:val="EnvelopeReturn"/>
        <w:jc w:val="both"/>
      </w:pPr>
      <w:r>
        <w:tab/>
      </w:r>
    </w:p>
    <w:p w:rsidR="004676F3" w:rsidRDefault="004676F3" w:rsidP="004676F3">
      <w:pPr>
        <w:pStyle w:val="EnvelopeReturn"/>
        <w:ind w:firstLine="720"/>
        <w:jc w:val="both"/>
      </w:pPr>
      <w:r>
        <w:t xml:space="preserve">Duncan, </w:t>
      </w:r>
      <w:r>
        <w:rPr>
          <w:i/>
        </w:rPr>
        <w:t>In Case of Emergency</w:t>
      </w:r>
      <w:r>
        <w:t>, p. 34.</w:t>
      </w:r>
    </w:p>
    <w:p w:rsidR="004676F3" w:rsidRDefault="004676F3" w:rsidP="004676F3">
      <w:pPr>
        <w:pStyle w:val="EnvelopeReturn"/>
        <w:jc w:val="both"/>
      </w:pPr>
    </w:p>
    <w:p w:rsidR="004676F3" w:rsidRDefault="004676F3" w:rsidP="004676F3">
      <w:pPr>
        <w:rPr>
          <w:b/>
          <w:bCs/>
        </w:rPr>
      </w:pPr>
    </w:p>
    <w:p w:rsidR="004676F3" w:rsidRDefault="004676F3" w:rsidP="004676F3">
      <w:pPr>
        <w:rPr>
          <w:b/>
          <w:bCs/>
        </w:rPr>
      </w:pPr>
    </w:p>
    <w:p w:rsidR="004676F3" w:rsidRDefault="004676F3" w:rsidP="004676F3">
      <w:pPr>
        <w:rPr>
          <w:b/>
          <w:bCs/>
        </w:rPr>
      </w:pPr>
    </w:p>
    <w:p w:rsidR="004676F3" w:rsidRDefault="004676F3" w:rsidP="004676F3">
      <w:pPr>
        <w:rPr>
          <w:b/>
          <w:bCs/>
        </w:rPr>
      </w:pPr>
      <w:r>
        <w:rPr>
          <w:b/>
          <w:bCs/>
        </w:rPr>
        <w:lastRenderedPageBreak/>
        <w:t>EXAMPLES OF FOOTNOTES:</w:t>
      </w:r>
    </w:p>
    <w:p w:rsidR="004676F3" w:rsidRDefault="004676F3" w:rsidP="004676F3">
      <w:pPr>
        <w:rPr>
          <w:b/>
        </w:rPr>
      </w:pPr>
    </w:p>
    <w:p w:rsidR="004676F3" w:rsidRDefault="004676F3" w:rsidP="004676F3">
      <w:pPr>
        <w:rPr>
          <w:b/>
        </w:rPr>
      </w:pPr>
      <w:r>
        <w:rPr>
          <w:b/>
        </w:rPr>
        <w:t>Books</w:t>
      </w:r>
    </w:p>
    <w:p w:rsidR="004676F3" w:rsidRDefault="004676F3" w:rsidP="004676F3">
      <w:r>
        <w:rPr>
          <w:i/>
        </w:rPr>
        <w:t>(Single Author)</w:t>
      </w:r>
      <w:r>
        <w:t>:</w:t>
      </w:r>
    </w:p>
    <w:p w:rsidR="004676F3" w:rsidRDefault="004676F3" w:rsidP="004676F3"/>
    <w:p w:rsidR="004676F3" w:rsidRDefault="004676F3" w:rsidP="004676F3">
      <w:pPr>
        <w:ind w:firstLine="720"/>
        <w:jc w:val="both"/>
      </w:pPr>
      <w:proofErr w:type="gramStart"/>
      <w:r>
        <w:t xml:space="preserve">Peter J. May, </w:t>
      </w:r>
      <w:r>
        <w:rPr>
          <w:u w:val="single"/>
        </w:rPr>
        <w:t>Recovering from Catastrophes</w:t>
      </w:r>
      <w:r>
        <w:t>.</w:t>
      </w:r>
      <w:proofErr w:type="gramEnd"/>
      <w:r>
        <w:t xml:space="preserve">  (Westport, CT: Greenwood Press, 1985) p. 97.</w:t>
      </w:r>
    </w:p>
    <w:p w:rsidR="004676F3" w:rsidRDefault="004676F3" w:rsidP="004676F3"/>
    <w:p w:rsidR="004676F3" w:rsidRDefault="004676F3" w:rsidP="004676F3">
      <w:pPr>
        <w:rPr>
          <w:i/>
        </w:rPr>
      </w:pPr>
      <w:r>
        <w:rPr>
          <w:i/>
        </w:rPr>
        <w:t>(Multiple Author):</w:t>
      </w:r>
    </w:p>
    <w:p w:rsidR="004676F3" w:rsidRDefault="004676F3" w:rsidP="004676F3"/>
    <w:p w:rsidR="004676F3" w:rsidRDefault="004676F3" w:rsidP="004676F3">
      <w:pPr>
        <w:ind w:firstLine="720"/>
        <w:jc w:val="both"/>
      </w:pPr>
      <w:r>
        <w:t xml:space="preserve">Dennis S. </w:t>
      </w:r>
      <w:proofErr w:type="spellStart"/>
      <w:r>
        <w:t>Militi</w:t>
      </w:r>
      <w:proofErr w:type="spellEnd"/>
      <w:r>
        <w:t xml:space="preserve">, Thomas E. </w:t>
      </w:r>
      <w:proofErr w:type="spellStart"/>
      <w:r>
        <w:t>Drabek</w:t>
      </w:r>
      <w:proofErr w:type="spellEnd"/>
      <w:r>
        <w:t xml:space="preserve">, and J. Eugene Haas, </w:t>
      </w:r>
      <w:r>
        <w:rPr>
          <w:u w:val="single"/>
        </w:rPr>
        <w:t>Human Systems in Extreme Environments: A Sociological perspective.</w:t>
      </w:r>
      <w:r>
        <w:t xml:space="preserve">  </w:t>
      </w:r>
      <w:proofErr w:type="gramStart"/>
      <w:r>
        <w:t>(Boulder, CO: University of Colorado Press, 1975) pp.89-90.</w:t>
      </w:r>
      <w:proofErr w:type="gramEnd"/>
    </w:p>
    <w:p w:rsidR="004676F3" w:rsidRDefault="004676F3" w:rsidP="004676F3">
      <w:pPr>
        <w:ind w:firstLine="720"/>
        <w:jc w:val="both"/>
      </w:pPr>
    </w:p>
    <w:p w:rsidR="004676F3" w:rsidRDefault="004676F3" w:rsidP="004676F3">
      <w:pPr>
        <w:jc w:val="both"/>
      </w:pPr>
      <w:r>
        <w:t>(Article in a Book):</w:t>
      </w:r>
    </w:p>
    <w:p w:rsidR="004676F3" w:rsidRDefault="004676F3" w:rsidP="004676F3"/>
    <w:p w:rsidR="004676F3" w:rsidRDefault="004676F3" w:rsidP="004676F3">
      <w:pPr>
        <w:ind w:firstLine="720"/>
        <w:jc w:val="both"/>
      </w:pPr>
      <w:r>
        <w:t xml:space="preserve">Dwight W. Chapman, “A Brief Introduction to Contemporary Disaster Research,” in </w:t>
      </w:r>
      <w:r>
        <w:rPr>
          <w:u w:val="single"/>
        </w:rPr>
        <w:t>Man and Society in Disaster</w:t>
      </w:r>
      <w:r>
        <w:t>, edited by George W. Baker and Dwight W. Chapman  (New York: Basic Books, Inc. 1962) p. 18.</w:t>
      </w:r>
    </w:p>
    <w:p w:rsidR="004676F3" w:rsidRDefault="004676F3" w:rsidP="004676F3"/>
    <w:p w:rsidR="004676F3" w:rsidRDefault="004676F3" w:rsidP="004676F3">
      <w:r>
        <w:rPr>
          <w:b/>
        </w:rPr>
        <w:t>Newspapers</w:t>
      </w:r>
      <w:r>
        <w:t xml:space="preserve"> </w:t>
      </w:r>
    </w:p>
    <w:p w:rsidR="004676F3" w:rsidRDefault="004676F3" w:rsidP="004676F3"/>
    <w:p w:rsidR="004676F3" w:rsidRDefault="004676F3" w:rsidP="004676F3">
      <w:pPr>
        <w:ind w:firstLine="720"/>
        <w:jc w:val="both"/>
      </w:pPr>
      <w:r>
        <w:t xml:space="preserve">“Bay-Area Community Groups Accuse </w:t>
      </w:r>
      <w:smartTag w:uri="urn:schemas-microsoft-com:office:smarttags" w:element="country-region">
        <w:r>
          <w:t>U.S.</w:t>
        </w:r>
      </w:smartTag>
      <w:r>
        <w:t xml:space="preserve"> of Slighting Poor after Quake,” </w:t>
      </w:r>
      <w:smartTag w:uri="urn:schemas-microsoft-com:office:smarttags" w:element="State">
        <w:smartTag w:uri="urn:schemas-microsoft-com:office:smarttags" w:element="place">
          <w:r>
            <w:rPr>
              <w:u w:val="single"/>
            </w:rPr>
            <w:t>Washington</w:t>
          </w:r>
        </w:smartTag>
      </w:smartTag>
      <w:r>
        <w:rPr>
          <w:u w:val="single"/>
        </w:rPr>
        <w:t xml:space="preserve"> Post</w:t>
      </w:r>
      <w:r>
        <w:t>, 16 November 1989, sec. A. p. 17.</w:t>
      </w:r>
    </w:p>
    <w:p w:rsidR="004676F3" w:rsidRDefault="004676F3" w:rsidP="004676F3">
      <w:pPr>
        <w:rPr>
          <w:b/>
        </w:rPr>
      </w:pPr>
    </w:p>
    <w:p w:rsidR="004676F3" w:rsidRDefault="004676F3" w:rsidP="004676F3">
      <w:pPr>
        <w:rPr>
          <w:b/>
        </w:rPr>
      </w:pPr>
      <w:r>
        <w:rPr>
          <w:b/>
        </w:rPr>
        <w:t>Periodicals</w:t>
      </w:r>
    </w:p>
    <w:p w:rsidR="004676F3" w:rsidRDefault="004676F3" w:rsidP="004676F3"/>
    <w:p w:rsidR="004676F3" w:rsidRDefault="004676F3" w:rsidP="004676F3">
      <w:pPr>
        <w:ind w:firstLine="720"/>
        <w:jc w:val="both"/>
      </w:pPr>
      <w:r>
        <w:t xml:space="preserve">Robert </w:t>
      </w:r>
      <w:proofErr w:type="spellStart"/>
      <w:r>
        <w:t>Agranoff</w:t>
      </w:r>
      <w:proofErr w:type="spellEnd"/>
      <w:r>
        <w:t xml:space="preserve"> and Valerie A. Lindsey, “Intergovernmental Management: Perspectives from Human Service Problem Solving at the Local Level,” </w:t>
      </w:r>
      <w:r>
        <w:rPr>
          <w:u w:val="single"/>
        </w:rPr>
        <w:t>Public Administration Review</w:t>
      </w:r>
      <w:r>
        <w:t>, Vol. 43, No. 3 (May/June 1983): 227.</w:t>
      </w:r>
    </w:p>
    <w:p w:rsidR="004676F3" w:rsidRDefault="004676F3" w:rsidP="004676F3"/>
    <w:p w:rsidR="004676F3" w:rsidRDefault="004676F3" w:rsidP="004676F3">
      <w:r>
        <w:rPr>
          <w:b/>
        </w:rPr>
        <w:t>Magazines</w:t>
      </w:r>
    </w:p>
    <w:p w:rsidR="004676F3" w:rsidRDefault="004676F3" w:rsidP="004676F3"/>
    <w:p w:rsidR="004676F3" w:rsidRDefault="004676F3" w:rsidP="004676F3">
      <w:pPr>
        <w:ind w:firstLine="720"/>
        <w:jc w:val="both"/>
      </w:pPr>
      <w:r>
        <w:t xml:space="preserve">Tim Darnell, “A State of </w:t>
      </w:r>
      <w:smartTag w:uri="urn:schemas-microsoft-com:office:smarttags" w:element="State">
        <w:r>
          <w:t>Emergency</w:t>
        </w:r>
      </w:smartTag>
      <w:r>
        <w:t xml:space="preserve">,” </w:t>
      </w:r>
      <w:smartTag w:uri="urn:schemas-microsoft-com:office:smarttags" w:element="place">
        <w:smartTag w:uri="urn:schemas-microsoft-com:office:smarttags" w:element="PlaceName">
          <w:r>
            <w:rPr>
              <w:u w:val="single"/>
            </w:rPr>
            <w:t>American</w:t>
          </w:r>
        </w:smartTag>
        <w:r>
          <w:rPr>
            <w:u w:val="single"/>
          </w:rPr>
          <w:t xml:space="preserve"> </w:t>
        </w:r>
        <w:smartTag w:uri="urn:schemas-microsoft-com:office:smarttags" w:element="PlaceType">
          <w:r>
            <w:rPr>
              <w:u w:val="single"/>
            </w:rPr>
            <w:t>City</w:t>
          </w:r>
        </w:smartTag>
      </w:smartTag>
      <w:r>
        <w:rPr>
          <w:u w:val="single"/>
        </w:rPr>
        <w:t xml:space="preserve"> and County</w:t>
      </w:r>
      <w:r>
        <w:t>, Vol. 104, No. 12 (December, 1989): 25.</w:t>
      </w:r>
    </w:p>
    <w:p w:rsidR="004676F3" w:rsidRDefault="004676F3" w:rsidP="004676F3"/>
    <w:p w:rsidR="004676F3" w:rsidRDefault="004676F3" w:rsidP="004676F3">
      <w:pPr>
        <w:rPr>
          <w:b/>
        </w:rPr>
      </w:pPr>
      <w:r>
        <w:rPr>
          <w:b/>
        </w:rPr>
        <w:t>Encyclopedia</w:t>
      </w:r>
    </w:p>
    <w:p w:rsidR="004676F3" w:rsidRDefault="004676F3" w:rsidP="004676F3">
      <w:pPr>
        <w:rPr>
          <w:i/>
        </w:rPr>
      </w:pPr>
      <w:r>
        <w:rPr>
          <w:i/>
        </w:rPr>
        <w:t>(No Author):</w:t>
      </w:r>
    </w:p>
    <w:p w:rsidR="004676F3" w:rsidRDefault="004676F3" w:rsidP="004676F3"/>
    <w:p w:rsidR="004676F3" w:rsidRDefault="004676F3" w:rsidP="004676F3">
      <w:pPr>
        <w:ind w:firstLine="720"/>
      </w:pPr>
      <w:proofErr w:type="gramStart"/>
      <w:r>
        <w:rPr>
          <w:u w:val="single"/>
        </w:rPr>
        <w:t xml:space="preserve">Encyclopedia </w:t>
      </w:r>
      <w:smartTag w:uri="urn:schemas-microsoft-com:office:smarttags" w:element="place">
        <w:smartTag w:uri="urn:schemas-microsoft-com:office:smarttags" w:element="City">
          <w:r>
            <w:rPr>
              <w:u w:val="single"/>
            </w:rPr>
            <w:t>Americana</w:t>
          </w:r>
        </w:smartTag>
      </w:smartTag>
      <w:r>
        <w:t>, 1964 ed., s. v. “Red Cross.”</w:t>
      </w:r>
      <w:proofErr w:type="gramEnd"/>
    </w:p>
    <w:p w:rsidR="004676F3" w:rsidRDefault="004676F3" w:rsidP="004676F3">
      <w:pPr>
        <w:pStyle w:val="EnvelopeReturn"/>
        <w:rPr>
          <w:szCs w:val="24"/>
        </w:rPr>
      </w:pPr>
    </w:p>
    <w:p w:rsidR="004676F3" w:rsidRDefault="004676F3" w:rsidP="004676F3">
      <w:pPr>
        <w:pStyle w:val="Heading5"/>
        <w:rPr>
          <w:rFonts w:eastAsia="Arial Unicode MS"/>
          <w:bCs/>
          <w:spacing w:val="-3"/>
        </w:rPr>
      </w:pPr>
      <w:r>
        <w:rPr>
          <w:bCs/>
          <w:spacing w:val="-3"/>
          <w:sz w:val="24"/>
        </w:rPr>
        <w:t>Government Documents</w:t>
      </w:r>
    </w:p>
    <w:p w:rsidR="004676F3" w:rsidRDefault="004676F3" w:rsidP="004676F3">
      <w:pPr>
        <w:jc w:val="both"/>
      </w:pPr>
    </w:p>
    <w:p w:rsidR="004676F3" w:rsidRDefault="004676F3" w:rsidP="004676F3">
      <w:pPr>
        <w:jc w:val="both"/>
      </w:pPr>
      <w:r>
        <w:t>          Congress, Senate, Committee on Foreign Relations, "</w:t>
      </w:r>
      <w:smartTag w:uri="urn:schemas-microsoft-com:office:smarttags" w:element="country-region">
        <w:smartTag w:uri="urn:schemas-microsoft-com:office:smarttags" w:element="place">
          <w:r>
            <w:t>U.S.</w:t>
          </w:r>
        </w:smartTag>
      </w:smartTag>
      <w:r>
        <w:t xml:space="preserve"> Scholarship Program for Developing Countries" (Washington, D.C.:  GPO, 1984), 7.</w:t>
      </w:r>
    </w:p>
    <w:p w:rsidR="004676F3" w:rsidRDefault="004676F3" w:rsidP="004676F3">
      <w:pPr>
        <w:jc w:val="both"/>
      </w:pPr>
    </w:p>
    <w:p w:rsidR="004676F3" w:rsidRDefault="004676F3" w:rsidP="004676F3">
      <w:pPr>
        <w:ind w:firstLine="720"/>
        <w:jc w:val="both"/>
      </w:pPr>
      <w:proofErr w:type="spellStart"/>
      <w:r>
        <w:t>Departmnent</w:t>
      </w:r>
      <w:proofErr w:type="spellEnd"/>
      <w:r>
        <w:t xml:space="preserve"> of Labor, Employment Standards Administration, </w:t>
      </w:r>
      <w:proofErr w:type="gramStart"/>
      <w:r>
        <w:t>Resource</w:t>
      </w:r>
      <w:proofErr w:type="gramEnd"/>
      <w:r>
        <w:t xml:space="preserve"> Book:  Training for Federal Employee Compensation Specialists (Washington, D.C., 1984), 236.</w:t>
      </w:r>
    </w:p>
    <w:p w:rsidR="004676F3" w:rsidRDefault="004676F3" w:rsidP="004676F3">
      <w:pPr>
        <w:jc w:val="both"/>
      </w:pPr>
    </w:p>
    <w:p w:rsidR="004676F3" w:rsidRDefault="004676F3" w:rsidP="004676F3">
      <w:pPr>
        <w:pStyle w:val="Heading5"/>
        <w:jc w:val="both"/>
        <w:rPr>
          <w:rFonts w:eastAsia="Arial Unicode MS"/>
          <w:spacing w:val="-3"/>
          <w:sz w:val="24"/>
        </w:rPr>
      </w:pPr>
      <w:r>
        <w:rPr>
          <w:spacing w:val="-3"/>
          <w:sz w:val="24"/>
        </w:rPr>
        <w:t>Electronic Documents</w:t>
      </w:r>
    </w:p>
    <w:p w:rsidR="004676F3" w:rsidRDefault="004676F3" w:rsidP="004676F3">
      <w:pPr>
        <w:rPr>
          <w:b/>
        </w:rPr>
      </w:pPr>
    </w:p>
    <w:p w:rsidR="004676F3" w:rsidRDefault="004676F3" w:rsidP="004676F3">
      <w:pPr>
        <w:jc w:val="both"/>
      </w:pPr>
      <w:r>
        <w:t xml:space="preserve">          </w:t>
      </w:r>
      <w:proofErr w:type="gramStart"/>
      <w:smartTag w:uri="urn:schemas-microsoft-com:office:smarttags" w:element="place">
        <w:smartTag w:uri="urn:schemas-microsoft-com:office:smarttags" w:element="City">
          <w:r>
            <w:t>Lawrence</w:t>
          </w:r>
        </w:smartTag>
      </w:smartTag>
      <w:r>
        <w:t xml:space="preserve"> Squires.</w:t>
      </w:r>
      <w:proofErr w:type="gramEnd"/>
      <w:r>
        <w:t xml:space="preserve"> “A virtual Tour of the White </w:t>
      </w:r>
      <w:proofErr w:type="spellStart"/>
      <w:r>
        <w:t>Hhouse</w:t>
      </w:r>
      <w:proofErr w:type="spellEnd"/>
      <w:r>
        <w:t xml:space="preserve">, circa 1900,” </w:t>
      </w:r>
      <w:r>
        <w:rPr>
          <w:u w:val="single"/>
        </w:rPr>
        <w:t>National Landmarks: Then and Now</w:t>
      </w:r>
      <w:r>
        <w:t xml:space="preserve">, </w:t>
      </w:r>
      <w:proofErr w:type="gramStart"/>
      <w:r>
        <w:t>1999  &lt;</w:t>
      </w:r>
      <w:proofErr w:type="gramEnd"/>
      <w:r>
        <w:t>http://www.natlandmk.com/hist&gt; (21 August 2000).</w:t>
      </w:r>
    </w:p>
    <w:p w:rsidR="004676F3" w:rsidRDefault="004676F3" w:rsidP="004676F3">
      <w:pPr>
        <w:rPr>
          <w:rFonts w:ascii="Arial" w:hAnsi="Arial" w:cs="Arial"/>
        </w:rPr>
      </w:pPr>
    </w:p>
    <w:p w:rsidR="004676F3" w:rsidRDefault="004676F3" w:rsidP="004676F3">
      <w:pPr>
        <w:pStyle w:val="Heading5"/>
        <w:rPr>
          <w:rFonts w:eastAsia="Arial Unicode MS"/>
          <w:bCs/>
          <w:spacing w:val="-3"/>
          <w:sz w:val="24"/>
        </w:rPr>
      </w:pPr>
      <w:r>
        <w:rPr>
          <w:bCs/>
          <w:spacing w:val="-3"/>
          <w:sz w:val="24"/>
        </w:rPr>
        <w:t>Videos</w:t>
      </w:r>
    </w:p>
    <w:p w:rsidR="004676F3" w:rsidRDefault="004676F3" w:rsidP="004676F3">
      <w:pPr>
        <w:rPr>
          <w:rFonts w:ascii="Arial" w:hAnsi="Arial" w:cs="Arial"/>
          <w:b/>
          <w:bCs/>
        </w:rPr>
      </w:pPr>
    </w:p>
    <w:p w:rsidR="004676F3" w:rsidRDefault="004676F3" w:rsidP="004676F3">
      <w:pPr>
        <w:jc w:val="both"/>
      </w:pPr>
      <w:r>
        <w:rPr>
          <w:rFonts w:ascii="Arial" w:hAnsi="Arial" w:cs="Arial"/>
        </w:rPr>
        <w:t xml:space="preserve">          </w:t>
      </w:r>
      <w:proofErr w:type="gramStart"/>
      <w:r>
        <w:rPr>
          <w:u w:val="single"/>
        </w:rPr>
        <w:t>Weather Underground</w:t>
      </w:r>
      <w:r>
        <w:t>, 92 min., New Video Group, Inc., 2004, videocassette.</w:t>
      </w:r>
      <w:proofErr w:type="gramEnd"/>
    </w:p>
    <w:p w:rsidR="004676F3" w:rsidRDefault="004676F3" w:rsidP="004676F3">
      <w:pPr>
        <w:jc w:val="both"/>
        <w:rPr>
          <w:b/>
        </w:rPr>
      </w:pPr>
    </w:p>
    <w:p w:rsidR="004676F3" w:rsidRDefault="004676F3" w:rsidP="004676F3">
      <w:pPr>
        <w:pStyle w:val="Heading5"/>
        <w:rPr>
          <w:rFonts w:eastAsia="Arial Unicode MS"/>
          <w:spacing w:val="-3"/>
          <w:sz w:val="24"/>
        </w:rPr>
      </w:pPr>
      <w:r>
        <w:rPr>
          <w:spacing w:val="-3"/>
          <w:sz w:val="24"/>
        </w:rPr>
        <w:t>Interviews</w:t>
      </w:r>
    </w:p>
    <w:p w:rsidR="004676F3" w:rsidRDefault="004676F3" w:rsidP="004676F3"/>
    <w:p w:rsidR="004676F3" w:rsidRDefault="004676F3" w:rsidP="004676F3">
      <w:pPr>
        <w:ind w:firstLine="720"/>
        <w:jc w:val="both"/>
      </w:pPr>
      <w:r>
        <w:t>Interview with Richard N, Smith, Deputy Manager, Eastern Operations Headquarters, American Red Cross, 9 March 1990.</w:t>
      </w:r>
    </w:p>
    <w:p w:rsidR="004676F3" w:rsidRDefault="004676F3" w:rsidP="004676F3">
      <w:pPr>
        <w:rPr>
          <w:b/>
        </w:rPr>
      </w:pPr>
    </w:p>
    <w:p w:rsidR="004676F3" w:rsidRDefault="004676F3" w:rsidP="004676F3">
      <w:r>
        <w:rPr>
          <w:b/>
        </w:rPr>
        <w:t>Unpublished Papers</w:t>
      </w:r>
    </w:p>
    <w:p w:rsidR="004676F3" w:rsidRDefault="004676F3" w:rsidP="004676F3"/>
    <w:p w:rsidR="004676F3" w:rsidRDefault="004676F3" w:rsidP="004676F3">
      <w:pPr>
        <w:ind w:firstLine="720"/>
        <w:jc w:val="both"/>
      </w:pPr>
      <w:r>
        <w:t xml:space="preserve">Louis J. Levy and Llewellyn M. </w:t>
      </w:r>
      <w:proofErr w:type="spellStart"/>
      <w:r>
        <w:t>Toulmin</w:t>
      </w:r>
      <w:proofErr w:type="spellEnd"/>
      <w:r>
        <w:t xml:space="preserve">, “Improving Disaster Planning and Response Efforts: Lessons </w:t>
      </w:r>
      <w:proofErr w:type="gramStart"/>
      <w:r>
        <w:t>From</w:t>
      </w:r>
      <w:proofErr w:type="gramEnd"/>
      <w:r>
        <w:t xml:space="preserve"> Hurricanes Andrew and </w:t>
      </w:r>
      <w:proofErr w:type="spellStart"/>
      <w:r>
        <w:t>Iniki</w:t>
      </w:r>
      <w:proofErr w:type="spellEnd"/>
      <w:r>
        <w:t xml:space="preserve">,” Paper prepared for Booz-Allen &amp; Hamilton, August 1993.  </w:t>
      </w:r>
      <w:proofErr w:type="gramStart"/>
      <w:r>
        <w:t>p. 16.</w:t>
      </w:r>
      <w:proofErr w:type="gramEnd"/>
    </w:p>
    <w:p w:rsidR="004676F3" w:rsidRDefault="004676F3" w:rsidP="004676F3">
      <w:pPr>
        <w:rPr>
          <w:b/>
        </w:rPr>
      </w:pPr>
    </w:p>
    <w:p w:rsidR="004676F3" w:rsidRDefault="004676F3" w:rsidP="004676F3">
      <w:r>
        <w:rPr>
          <w:b/>
        </w:rPr>
        <w:t>Personal Comments</w:t>
      </w:r>
    </w:p>
    <w:p w:rsidR="004676F3" w:rsidRDefault="004676F3" w:rsidP="004676F3">
      <w:pPr>
        <w:jc w:val="both"/>
      </w:pPr>
    </w:p>
    <w:p w:rsidR="004676F3" w:rsidRDefault="004676F3" w:rsidP="004676F3">
      <w:pPr>
        <w:ind w:left="720"/>
        <w:jc w:val="both"/>
      </w:pPr>
      <w:r>
        <w:t>It was the success of citizens “coordinating” groups in the aftermath of the 1900</w:t>
      </w:r>
    </w:p>
    <w:p w:rsidR="004676F3" w:rsidRDefault="004676F3" w:rsidP="004676F3">
      <w:pPr>
        <w:jc w:val="both"/>
      </w:pPr>
      <w:r>
        <w:t>Galveston Hurricane and flood that led to the popularity of the city council form of government.</w:t>
      </w:r>
    </w:p>
    <w:p w:rsidR="004676F3" w:rsidRDefault="004676F3" w:rsidP="004676F3">
      <w:pPr>
        <w:jc w:val="both"/>
      </w:pPr>
    </w:p>
    <w:p w:rsidR="004676F3" w:rsidRDefault="004676F3" w:rsidP="004676F3">
      <w:pPr>
        <w:jc w:val="both"/>
      </w:pPr>
    </w:p>
    <w:p w:rsidR="004676F3" w:rsidRDefault="004676F3" w:rsidP="004676F3">
      <w:pPr>
        <w:jc w:val="both"/>
      </w:pPr>
    </w:p>
    <w:p w:rsidR="004676F3" w:rsidRDefault="004676F3" w:rsidP="004676F3">
      <w:pPr>
        <w:jc w:val="both"/>
      </w:pPr>
    </w:p>
    <w:p w:rsidR="004676F3" w:rsidRDefault="004676F3" w:rsidP="004676F3">
      <w:pPr>
        <w:jc w:val="both"/>
      </w:pPr>
    </w:p>
    <w:p w:rsidR="004676F3" w:rsidRDefault="004676F3" w:rsidP="004676F3">
      <w:pPr>
        <w:jc w:val="both"/>
      </w:pPr>
    </w:p>
    <w:p w:rsidR="004676F3" w:rsidRDefault="004676F3" w:rsidP="004676F3">
      <w:pPr>
        <w:jc w:val="both"/>
      </w:pPr>
    </w:p>
    <w:p w:rsidR="004676F3" w:rsidRDefault="004676F3" w:rsidP="004676F3">
      <w:pPr>
        <w:jc w:val="both"/>
      </w:pPr>
    </w:p>
    <w:p w:rsidR="005F1EA0" w:rsidRDefault="005F1EA0"/>
    <w:sectPr w:rsidR="005F1EA0" w:rsidSect="005F1EA0">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76F3" w:rsidRDefault="004676F3" w:rsidP="004676F3">
      <w:r>
        <w:separator/>
      </w:r>
    </w:p>
  </w:endnote>
  <w:endnote w:type="continuationSeparator" w:id="0">
    <w:p w:rsidR="004676F3" w:rsidRDefault="004676F3" w:rsidP="004676F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6F3" w:rsidRDefault="004676F3">
    <w:pPr>
      <w:pStyle w:val="Footer"/>
      <w:pBdr>
        <w:top w:val="thinThickSmallGap" w:sz="24" w:space="1" w:color="622423" w:themeColor="accent2" w:themeShade="7F"/>
      </w:pBdr>
      <w:rPr>
        <w:rFonts w:asciiTheme="majorHAnsi" w:hAnsiTheme="majorHAnsi"/>
      </w:rPr>
    </w:pPr>
    <w:r>
      <w:rPr>
        <w:rFonts w:asciiTheme="majorHAnsi" w:hAnsiTheme="majorHAnsi"/>
      </w:rPr>
      <w:t>Footnote Format</w:t>
    </w:r>
    <w:r>
      <w:rPr>
        <w:rFonts w:asciiTheme="majorHAnsi" w:hAnsiTheme="majorHAnsi"/>
      </w:rPr>
      <w:ptab w:relativeTo="margin" w:alignment="right" w:leader="none"/>
    </w:r>
    <w:r>
      <w:rPr>
        <w:rFonts w:asciiTheme="majorHAnsi" w:hAnsiTheme="majorHAnsi"/>
      </w:rPr>
      <w:t xml:space="preserve">Page </w:t>
    </w:r>
    <w:fldSimple w:instr=" PAGE   \* MERGEFORMAT ">
      <w:r w:rsidRPr="004676F3">
        <w:rPr>
          <w:rFonts w:asciiTheme="majorHAnsi" w:hAnsiTheme="majorHAnsi"/>
          <w:noProof/>
        </w:rPr>
        <w:t>3</w:t>
      </w:r>
    </w:fldSimple>
  </w:p>
  <w:p w:rsidR="004676F3" w:rsidRDefault="004676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76F3" w:rsidRDefault="004676F3" w:rsidP="004676F3">
      <w:r>
        <w:separator/>
      </w:r>
    </w:p>
  </w:footnote>
  <w:footnote w:type="continuationSeparator" w:id="0">
    <w:p w:rsidR="004676F3" w:rsidRDefault="004676F3" w:rsidP="004676F3">
      <w:r>
        <w:continuationSeparator/>
      </w:r>
    </w:p>
  </w:footnote>
  <w:footnote w:id="1">
    <w:p w:rsidR="004676F3" w:rsidRDefault="004676F3" w:rsidP="004676F3">
      <w:pPr>
        <w:pStyle w:val="FootnoteText"/>
        <w:ind w:left="0"/>
        <w:jc w:val="both"/>
        <w:rPr>
          <w:rFonts w:ascii="Times New Roman" w:hAnsi="Times New Roman"/>
        </w:rPr>
      </w:pPr>
      <w:r>
        <w:rPr>
          <w:rStyle w:val="FootnoteReference"/>
          <w:rFonts w:ascii="Times New Roman" w:hAnsi="Times New Roman"/>
        </w:rPr>
        <w:footnoteRef/>
      </w:r>
      <w:r>
        <w:rPr>
          <w:rFonts w:ascii="Times New Roman" w:hAnsi="Times New Roman"/>
        </w:rPr>
        <w:t xml:space="preserve"> Kate L. </w:t>
      </w:r>
      <w:proofErr w:type="spellStart"/>
      <w:r>
        <w:rPr>
          <w:rFonts w:ascii="Times New Roman" w:hAnsi="Times New Roman"/>
        </w:rPr>
        <w:t>Turabian</w:t>
      </w:r>
      <w:proofErr w:type="spellEnd"/>
      <w:r>
        <w:rPr>
          <w:rFonts w:ascii="Times New Roman" w:hAnsi="Times New Roman"/>
        </w:rPr>
        <w:t xml:space="preserve">,   </w:t>
      </w:r>
      <w:proofErr w:type="gramStart"/>
      <w:r>
        <w:rPr>
          <w:rFonts w:ascii="Times New Roman" w:hAnsi="Times New Roman"/>
          <w:u w:val="single"/>
        </w:rPr>
        <w:t>A</w:t>
      </w:r>
      <w:proofErr w:type="gramEnd"/>
      <w:r>
        <w:rPr>
          <w:rFonts w:ascii="Times New Roman" w:hAnsi="Times New Roman"/>
          <w:u w:val="single"/>
        </w:rPr>
        <w:t xml:space="preserve"> Manual for Writers of Term Papers, Theses, and Dissertations</w:t>
      </w:r>
      <w:r>
        <w:rPr>
          <w:rFonts w:ascii="Times New Roman" w:hAnsi="Times New Roman"/>
        </w:rPr>
        <w:t>.  6</w:t>
      </w:r>
      <w:r>
        <w:rPr>
          <w:rFonts w:ascii="Times New Roman" w:hAnsi="Times New Roman"/>
          <w:vertAlign w:val="superscript"/>
        </w:rPr>
        <w:t>th</w:t>
      </w:r>
      <w:r>
        <w:rPr>
          <w:rFonts w:ascii="Times New Roman" w:hAnsi="Times New Roman"/>
        </w:rPr>
        <w:t xml:space="preserve"> ed., (Chicago, IL: University of Chicago Press, 1996), p. 118.</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6A313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61EA22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739C00FD"/>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lvlOverride w:ilvl="0"/>
  </w:num>
  <w:num w:numId="2">
    <w:abstractNumId w:val="2"/>
    <w:lvlOverride w:ilvl="0"/>
  </w:num>
  <w:num w:numId="3">
    <w:abstractNumId w:val="0"/>
    <w:lvlOverride w:ilv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676F3"/>
    <w:rsid w:val="004676F3"/>
    <w:rsid w:val="005F1EA0"/>
    <w:rsid w:val="00600B7E"/>
    <w:rsid w:val="00CC56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envelope return" w:uiPriority="0"/>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6F3"/>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semiHidden/>
    <w:unhideWhenUsed/>
    <w:qFormat/>
    <w:rsid w:val="004676F3"/>
    <w:pPr>
      <w:keepNext/>
      <w:outlineLvl w:val="3"/>
    </w:pPr>
    <w:rPr>
      <w:spacing w:val="-3"/>
      <w:szCs w:val="20"/>
      <w:u w:val="single"/>
    </w:rPr>
  </w:style>
  <w:style w:type="paragraph" w:styleId="Heading5">
    <w:name w:val="heading 5"/>
    <w:basedOn w:val="Normal"/>
    <w:next w:val="Normal"/>
    <w:link w:val="Heading5Char"/>
    <w:semiHidden/>
    <w:unhideWhenUsed/>
    <w:qFormat/>
    <w:rsid w:val="004676F3"/>
    <w:pPr>
      <w:keepNext/>
      <w:outlineLvl w:val="4"/>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4676F3"/>
    <w:rPr>
      <w:rFonts w:ascii="Times New Roman" w:eastAsia="Times New Roman" w:hAnsi="Times New Roman" w:cs="Times New Roman"/>
      <w:spacing w:val="-3"/>
      <w:sz w:val="24"/>
      <w:szCs w:val="20"/>
      <w:u w:val="single"/>
    </w:rPr>
  </w:style>
  <w:style w:type="character" w:customStyle="1" w:styleId="Heading5Char">
    <w:name w:val="Heading 5 Char"/>
    <w:basedOn w:val="DefaultParagraphFont"/>
    <w:link w:val="Heading5"/>
    <w:semiHidden/>
    <w:rsid w:val="004676F3"/>
    <w:rPr>
      <w:rFonts w:ascii="Times New Roman" w:eastAsia="Times New Roman" w:hAnsi="Times New Roman" w:cs="Times New Roman"/>
      <w:b/>
      <w:sz w:val="20"/>
      <w:szCs w:val="24"/>
    </w:rPr>
  </w:style>
  <w:style w:type="paragraph" w:styleId="FootnoteText">
    <w:name w:val="footnote text"/>
    <w:basedOn w:val="Normal"/>
    <w:link w:val="FootnoteTextChar"/>
    <w:semiHidden/>
    <w:unhideWhenUsed/>
    <w:rsid w:val="004676F3"/>
    <w:pPr>
      <w:widowControl w:val="0"/>
      <w:ind w:left="720" w:firstLine="720"/>
    </w:pPr>
    <w:rPr>
      <w:rFonts w:ascii="Courier New" w:hAnsi="Courier New"/>
      <w:szCs w:val="20"/>
    </w:rPr>
  </w:style>
  <w:style w:type="character" w:customStyle="1" w:styleId="FootnoteTextChar">
    <w:name w:val="Footnote Text Char"/>
    <w:basedOn w:val="DefaultParagraphFont"/>
    <w:link w:val="FootnoteText"/>
    <w:semiHidden/>
    <w:rsid w:val="004676F3"/>
    <w:rPr>
      <w:rFonts w:ascii="Courier New" w:eastAsia="Times New Roman" w:hAnsi="Courier New" w:cs="Times New Roman"/>
      <w:sz w:val="24"/>
      <w:szCs w:val="20"/>
    </w:rPr>
  </w:style>
  <w:style w:type="paragraph" w:styleId="EnvelopeReturn">
    <w:name w:val="envelope return"/>
    <w:basedOn w:val="Normal"/>
    <w:semiHidden/>
    <w:unhideWhenUsed/>
    <w:rsid w:val="004676F3"/>
    <w:rPr>
      <w:spacing w:val="-3"/>
      <w:szCs w:val="20"/>
    </w:rPr>
  </w:style>
  <w:style w:type="character" w:styleId="FootnoteReference">
    <w:name w:val="footnote reference"/>
    <w:basedOn w:val="DefaultParagraphFont"/>
    <w:semiHidden/>
    <w:unhideWhenUsed/>
    <w:rsid w:val="004676F3"/>
    <w:rPr>
      <w:vertAlign w:val="superscript"/>
    </w:rPr>
  </w:style>
  <w:style w:type="paragraph" w:styleId="Header">
    <w:name w:val="header"/>
    <w:basedOn w:val="Normal"/>
    <w:link w:val="HeaderChar"/>
    <w:uiPriority w:val="99"/>
    <w:semiHidden/>
    <w:unhideWhenUsed/>
    <w:rsid w:val="004676F3"/>
    <w:pPr>
      <w:tabs>
        <w:tab w:val="center" w:pos="4680"/>
        <w:tab w:val="right" w:pos="9360"/>
      </w:tabs>
    </w:pPr>
  </w:style>
  <w:style w:type="character" w:customStyle="1" w:styleId="HeaderChar">
    <w:name w:val="Header Char"/>
    <w:basedOn w:val="DefaultParagraphFont"/>
    <w:link w:val="Header"/>
    <w:uiPriority w:val="99"/>
    <w:semiHidden/>
    <w:rsid w:val="004676F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676F3"/>
    <w:pPr>
      <w:tabs>
        <w:tab w:val="center" w:pos="4680"/>
        <w:tab w:val="right" w:pos="9360"/>
      </w:tabs>
    </w:pPr>
  </w:style>
  <w:style w:type="character" w:customStyle="1" w:styleId="FooterChar">
    <w:name w:val="Footer Char"/>
    <w:basedOn w:val="DefaultParagraphFont"/>
    <w:link w:val="Footer"/>
    <w:uiPriority w:val="99"/>
    <w:rsid w:val="004676F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676F3"/>
    <w:rPr>
      <w:rFonts w:ascii="Tahoma" w:hAnsi="Tahoma" w:cs="Tahoma"/>
      <w:sz w:val="16"/>
      <w:szCs w:val="16"/>
    </w:rPr>
  </w:style>
  <w:style w:type="character" w:customStyle="1" w:styleId="BalloonTextChar">
    <w:name w:val="Balloon Text Char"/>
    <w:basedOn w:val="DefaultParagraphFont"/>
    <w:link w:val="BalloonText"/>
    <w:uiPriority w:val="99"/>
    <w:semiHidden/>
    <w:rsid w:val="004676F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8102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591</Words>
  <Characters>3373</Characters>
  <Application>Microsoft Office Word</Application>
  <DocSecurity>0</DocSecurity>
  <Lines>28</Lines>
  <Paragraphs>7</Paragraphs>
  <ScaleCrop>false</ScaleCrop>
  <Company>Guilford College</Company>
  <LinksUpToDate>false</LinksUpToDate>
  <CharactersWithSpaces>3957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2016-01-13T17:19:00Z</dcterms:created>
  <dcterms:modified xsi:type="dcterms:W3CDTF">2016-01-13T17:20:00Z</dcterms:modified>
</cp:coreProperties>
</file>